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E76E8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ПОЛОЖЕНИЕ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об организации водоснабжения и эксплуатации централизованной системы технического водоснабжения СНТ «Позитив»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(</w:t>
      </w:r>
      <w:r>
        <w:rPr>
          <w:rFonts w:hint="default" w:ascii="Times New Roman" w:hAnsi="Times New Roman" w:cs="Times New Roman"/>
          <w:sz w:val="20"/>
          <w:szCs w:val="20"/>
        </w:rPr>
        <w:t>ИНН 3849009626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)</w:t>
      </w:r>
    </w:p>
    <w:p w14:paraId="16183537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УТВЕРЖДЕНО</w:t>
      </w:r>
      <w:r>
        <w:rPr>
          <w:rFonts w:hint="default" w:ascii="Times New Roman" w:hAnsi="Times New Roman" w:cs="Times New Roman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</w:rPr>
        <w:t>решением Общего собрания членов СНТ «Позитив»</w:t>
      </w:r>
      <w:r>
        <w:rPr>
          <w:rFonts w:hint="default" w:ascii="Times New Roman" w:hAnsi="Times New Roman" w:cs="Times New Roman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</w:rPr>
        <w:t>Протокол № ___ от «___» __________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hint="default" w:ascii="Times New Roman" w:hAnsi="Times New Roman" w:cs="Times New Roman"/>
          <w:sz w:val="20"/>
          <w:szCs w:val="20"/>
        </w:rPr>
        <w:t xml:space="preserve"> г.</w:t>
      </w:r>
    </w:p>
    <w:p w14:paraId="4CEE57A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2F0497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Централизованная подземная система технического водоснабжения, используемая для подачи технической воды на территории СНТ «Позитив», представляет собой единый комплекс объектов инженерной инфраструктуры, в состав которого входят: скважина, насосная станция, подземная накопительная емкость объемом 46 м³, подземная магистральная сеть водоснабжения, выполненная трубой диаметром 110 мм, распределительные колодцы и иные элементы системы водоснабжения.</w:t>
      </w:r>
    </w:p>
    <w:p w14:paraId="73C801E3">
      <w:pPr>
        <w:pStyle w:val="3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 Общие положения</w:t>
      </w:r>
    </w:p>
    <w:p w14:paraId="79D989EC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1.1. Настоящее Положение разработано в соответствии с Федеральным законом № 217-ФЗ, Уставом СНТ «Позитив» и регулирует порядок эксплуатации централизованной системы водоснабжения СНТ.</w:t>
      </w:r>
    </w:p>
    <w:p w14:paraId="358BEC76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1.2. Вода, подаваемая через централизованную систему водоснабжения СНТ, является технической, не относится к питьевой воде и не предназначена для питьевого и хозяйственно-бытового водоснабжения без дополнительной очистки.</w:t>
      </w:r>
    </w:p>
    <w:p w14:paraId="339C787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1.3. СНТ «Позитив» не является организацией централизованного питьевого или хозяйственно-бытового водоснабжения.</w:t>
      </w:r>
    </w:p>
    <w:p w14:paraId="35A1EF49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1.4. СНТ осуществляет организацию эксплуатации, технического обслуживания, текущего и аварийного ремонта централизованной системы технического водоснабжения, используемой на территории СНТ.</w:t>
      </w:r>
    </w:p>
    <w:p w14:paraId="3077F3AF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1.5. СНТ вправе устанавливать оборудование механической очистки воды для защиты системы водоснабжения от песка, ила и механических примесей. Наличие такого оборудования не означает соответствие воды требованиям, предъявляемым к питьевой воде.</w:t>
      </w:r>
    </w:p>
    <w:p w14:paraId="7A2E8691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50B2417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 Порядок выполнения работ и границы эксплуатационной ответственности</w:t>
      </w:r>
    </w:p>
    <w:p w14:paraId="1DC66E11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2.1. Все работы по подключению к централизованной системе технического водоснабжения, выполнению врезок, монтажу оборудования и работам в водопроводном колодце выполняются специалистами СНТ либо в присутствии и под обязательным контролем представителя СНТ. Самостоятельное выполнение работ без участия либо контроля представителя СНТ запрещается.</w:t>
      </w:r>
    </w:p>
    <w:p w14:paraId="34A53DFB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rFonts w:hint="default"/>
          <w:sz w:val="20"/>
          <w:szCs w:val="20"/>
          <w:lang w:val="ru-RU"/>
        </w:rPr>
        <w:t>2</w:t>
      </w:r>
      <w:r>
        <w:rPr>
          <w:sz w:val="20"/>
          <w:szCs w:val="20"/>
        </w:rPr>
        <w:t>. Схема подключения земельного участка</w:t>
      </w:r>
      <w:r>
        <w:rPr>
          <w:rFonts w:hint="default"/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явля</w:t>
      </w:r>
      <w:r>
        <w:rPr>
          <w:sz w:val="20"/>
          <w:szCs w:val="20"/>
          <w:lang w:val="ru-RU"/>
        </w:rPr>
        <w:t>е</w:t>
      </w:r>
      <w:r>
        <w:rPr>
          <w:sz w:val="20"/>
          <w:szCs w:val="20"/>
        </w:rPr>
        <w:t>тся неотъемлемой частью настоящего Положения. Все работы по подключению, монтажу, прокладке трубопроводов, выполнению врезок и подключению к централизованной системе технического водоснабжения выполняются в соответствии со схемой подключения и требованиями настоящего раздела.</w:t>
      </w:r>
    </w:p>
    <w:p w14:paraId="373101D1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</w:t>
      </w:r>
      <w:r>
        <w:rPr>
          <w:rFonts w:hint="default" w:ascii="Times New Roman" w:hAnsi="Times New Roman" w:cs="Times New Roman"/>
          <w:sz w:val="20"/>
          <w:szCs w:val="20"/>
        </w:rPr>
        <w:t>. Границей эксплуатационной ответственности между СНТ и собственником земельного участка является шаровой кран отвода к конкретному земельному участку, установленный на гребенке в водопроводном колодце.</w:t>
      </w:r>
    </w:p>
    <w:p w14:paraId="6F466E84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4</w:t>
      </w:r>
      <w:r>
        <w:rPr>
          <w:rFonts w:hint="default" w:ascii="Times New Roman" w:hAnsi="Times New Roman" w:cs="Times New Roman"/>
          <w:sz w:val="20"/>
          <w:szCs w:val="20"/>
        </w:rPr>
        <w:t>. СНТ несет ответственность за эксплуатацию магистрального трубопровода диаметром 110 мм, водопроводных колодцев, гребенок и не задействованных врезок до шарового крана отвода к земельному участку.</w:t>
      </w:r>
    </w:p>
    <w:p w14:paraId="7F76084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hint="default" w:ascii="Times New Roman" w:hAnsi="Times New Roman" w:cs="Times New Roman"/>
          <w:sz w:val="20"/>
          <w:szCs w:val="20"/>
        </w:rPr>
        <w:t>. Собственник земельного участка несет ответственность за шаровой кран отвода к участку, трубопровод после указанного крана, оборудование, внутренние сети и сооружения, расположенные на земельном участке.</w:t>
      </w:r>
    </w:p>
    <w:p w14:paraId="1CE03FBB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2.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hint="default" w:ascii="Times New Roman" w:hAnsi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Прокладка трубопровода выполняется методом прокола, на глубине не менее 3 метров от уровня земли. </w:t>
      </w:r>
    </w:p>
    <w:p w14:paraId="3D0BED7A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При выполнении прокладки трубопровода открытым способом вследствие невозможности выполнения прокола из-за скального грунта собственник земельного участка обязан: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</w:p>
    <w:p w14:paraId="56CD25CD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восстановить дорожное покрытие в течение 3 календарных дней после завершения земляных работ;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выполнить отсыпку дорожного покрытия щебнем  с уплотнением;</w:t>
      </w:r>
    </w:p>
    <w:p w14:paraId="53DFC115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- </w:t>
      </w:r>
      <w:r>
        <w:rPr>
          <w:rFonts w:hint="default" w:ascii="Times New Roman" w:hAnsi="Times New Roman" w:cs="Times New Roman"/>
          <w:sz w:val="20"/>
          <w:szCs w:val="20"/>
        </w:rPr>
        <w:t>в случае просадки грунта выполнить повторную отсыпку дорожного покрытия щебнем</w:t>
      </w:r>
      <w:r>
        <w:rPr>
          <w:rFonts w:hint="default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 xml:space="preserve"> в течение следующего летнего периода.</w:t>
      </w:r>
    </w:p>
    <w:p w14:paraId="6A828750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7</w:t>
      </w:r>
      <w:r>
        <w:rPr>
          <w:rFonts w:hint="default" w:ascii="Times New Roman" w:hAnsi="Times New Roman" w:cs="Times New Roman"/>
          <w:sz w:val="20"/>
          <w:szCs w:val="20"/>
        </w:rPr>
        <w:t>. Присоединение к централизованной системе технического водоснабжения выполняется ПНД трубой диаметром 32 мм, проложенной в гильзе ПНД диаметром 63 мм, с установкой металлической гребенки на магистральный трубопровод диаметром 110 мм.</w:t>
      </w:r>
    </w:p>
    <w:p w14:paraId="577ACD40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8</w:t>
      </w:r>
      <w:r>
        <w:rPr>
          <w:rFonts w:hint="default" w:ascii="Times New Roman" w:hAnsi="Times New Roman" w:cs="Times New Roman"/>
          <w:sz w:val="20"/>
          <w:szCs w:val="20"/>
        </w:rPr>
        <w:t xml:space="preserve">. Металлическая гребенка выполняется из толстостенной стальной трубы диаметром </w:t>
      </w:r>
      <w:r>
        <w:rPr>
          <w:rFonts w:hint="default" w:cs="Times New Roman"/>
          <w:sz w:val="20"/>
          <w:szCs w:val="20"/>
          <w:lang w:val="ru-RU"/>
        </w:rPr>
        <w:t>110</w:t>
      </w:r>
      <w:r>
        <w:rPr>
          <w:rFonts w:hint="default" w:ascii="Times New Roman" w:hAnsi="Times New Roman" w:cs="Times New Roman"/>
          <w:sz w:val="20"/>
          <w:szCs w:val="20"/>
        </w:rPr>
        <w:t xml:space="preserve"> мм с вваренными в торцах фланцами диаметром </w:t>
      </w:r>
      <w:r>
        <w:rPr>
          <w:rFonts w:hint="default" w:cs="Times New Roman"/>
          <w:sz w:val="20"/>
          <w:szCs w:val="20"/>
          <w:lang w:val="ru-RU"/>
        </w:rPr>
        <w:t>110</w:t>
      </w:r>
      <w:r>
        <w:rPr>
          <w:rFonts w:hint="default" w:ascii="Times New Roman" w:hAnsi="Times New Roman" w:cs="Times New Roman"/>
          <w:sz w:val="20"/>
          <w:szCs w:val="20"/>
        </w:rPr>
        <w:t xml:space="preserve"> мм, рассчитанными на давление 16 атмосфер.</w:t>
      </w:r>
    </w:p>
    <w:p w14:paraId="6ED45CB8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9</w:t>
      </w:r>
      <w:r>
        <w:rPr>
          <w:rFonts w:hint="default" w:ascii="Times New Roman" w:hAnsi="Times New Roman" w:cs="Times New Roman"/>
          <w:sz w:val="20"/>
          <w:szCs w:val="20"/>
        </w:rPr>
        <w:t>. Металлическая гребенка предусматривает от 3-х до 5-ти подключений и оснащается толстостенными катанными резьбами диаметром 1 дюйм.</w:t>
      </w:r>
    </w:p>
    <w:p w14:paraId="068570E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0</w:t>
      </w:r>
      <w:r>
        <w:rPr>
          <w:rFonts w:hint="default" w:ascii="Times New Roman" w:hAnsi="Times New Roman" w:cs="Times New Roman"/>
          <w:sz w:val="20"/>
          <w:szCs w:val="20"/>
        </w:rPr>
        <w:t>. На задействованной врезке устанавливается шаровой кран диаметром 1 дюйм с разъемным соединением классом не ниже Valtec, Bugatti, Stout либо аналогичного качества.</w:t>
      </w:r>
    </w:p>
    <w:p w14:paraId="7198E8A6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2.1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1</w:t>
      </w:r>
      <w:r>
        <w:rPr>
          <w:rFonts w:hint="default" w:ascii="Times New Roman" w:hAnsi="Times New Roman" w:cs="Times New Roman"/>
          <w:sz w:val="20"/>
          <w:szCs w:val="20"/>
        </w:rPr>
        <w:t>. Не задействованные врезки подлежат обязательному закрытию заглушками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к</w:t>
      </w:r>
      <w:r>
        <w:rPr>
          <w:rFonts w:hint="default" w:ascii="Times New Roman" w:hAnsi="Times New Roman" w:cs="Times New Roman"/>
          <w:sz w:val="20"/>
          <w:szCs w:val="20"/>
        </w:rPr>
        <w:t>лассом не ниже Valtec, Bugatti, Stout либо аналогичного качества.</w:t>
      </w:r>
    </w:p>
    <w:p w14:paraId="67167D0C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</w:t>
      </w:r>
      <w:r>
        <w:rPr>
          <w:rFonts w:hint="default" w:ascii="Times New Roman" w:hAnsi="Times New Roman" w:cs="Times New Roman"/>
          <w:sz w:val="20"/>
          <w:szCs w:val="20"/>
        </w:rPr>
        <w:t>. Способ монтажа: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электросварные фланцевые соединения;электросварная пайка ПНД фитингов.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Использование компрессионных соединений, накладных элементов, латунных фитингов и иных разъемных соединений до вводного крана в дом запрещается.</w:t>
      </w:r>
    </w:p>
    <w:p w14:paraId="18F57369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</w:t>
      </w:r>
      <w:r>
        <w:rPr>
          <w:rFonts w:hint="default" w:ascii="Times New Roman" w:hAnsi="Times New Roman" w:cs="Times New Roman"/>
          <w:sz w:val="20"/>
          <w:szCs w:val="20"/>
        </w:rPr>
        <w:t>. Отверстие в стенке водопроводного колодца под вывод гильзы ПНД диаметром 63 мм должно выполняться аккуратно, без разрушения конструкции колодца. После вывода трубы отверстие подлежит герметизации монтажной пеной.</w:t>
      </w:r>
    </w:p>
    <w:p w14:paraId="7B41768A">
      <w:pPr>
        <w:pStyle w:val="3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 Порядок подключения и отключения</w:t>
      </w:r>
    </w:p>
    <w:p w14:paraId="130F1979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3.1. Подключение земельных участков к централизованной системе технического водоснабжения СНТ «Позитив» осуществляется исключительно на основании письменного заявления собственника земельного участка.</w:t>
      </w:r>
    </w:p>
    <w:p w14:paraId="70F57813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3.2. Подключение земельного участка осуществляется:</w:t>
      </w:r>
    </w:p>
    <w:p w14:paraId="68952AF8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right="0" w:rightChars="0" w:hanging="420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при отсутствии задолженности по целевым взносам;</w:t>
      </w:r>
    </w:p>
    <w:p w14:paraId="0ABE79D6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right="0" w:rightChars="0" w:hanging="420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после выдачи Технических условий;</w:t>
      </w:r>
    </w:p>
    <w:p w14:paraId="5E4A52CD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right="0" w:rightChars="0" w:hanging="420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после подписания Акта разграничения эксплуатационной ответственности;</w:t>
      </w:r>
    </w:p>
    <w:p w14:paraId="4B905214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right="0" w:rightChars="0" w:hanging="420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при наличии технической возможности подключения.</w:t>
      </w:r>
    </w:p>
    <w:p w14:paraId="038D8475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3.3. Рассмотрение заявления и принятие решения о технической возможности подключения осуществляется Правлением СНТ в срок не более 30 календарных дней.</w:t>
      </w:r>
    </w:p>
    <w:p w14:paraId="2FAC53CD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3.4. Лица, не участвовавшие в создании системы водоснабжения путем внесения целевых взносов, не вправе осуществлять подключение без компенсации затрат,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понесённых</w:t>
      </w:r>
      <w:r>
        <w:rPr>
          <w:rFonts w:hint="default" w:ascii="Times New Roman" w:hAnsi="Times New Roman" w:cs="Times New Roman"/>
          <w:sz w:val="20"/>
          <w:szCs w:val="20"/>
        </w:rPr>
        <w:t xml:space="preserve"> на создание системы.</w:t>
      </w:r>
    </w:p>
    <w:p w14:paraId="27A46985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3.5. При выявлении самовольного либо несанкционированного подключения СНТ направляет собственнику земельного участка уведомление о необходимости устранения нарушения либо легализации подключения.</w:t>
      </w:r>
    </w:p>
    <w:p w14:paraId="495864D9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3.6. Уведомление направляется:</w:t>
      </w:r>
    </w:p>
    <w:p w14:paraId="07FEBAEF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посредством СМС-сообщения;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по электронной почте;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через официальный чат СНТ;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заказным письмом по адресу, указанному в ЕГРН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; путём</w:t>
      </w:r>
      <w:r>
        <w:rPr>
          <w:rFonts w:hint="default" w:ascii="Times New Roman" w:hAnsi="Times New Roman" w:cs="Times New Roman"/>
          <w:sz w:val="20"/>
          <w:szCs w:val="20"/>
        </w:rPr>
        <w:t xml:space="preserve"> размещения уведомления на информационном стенде СНТ.</w:t>
      </w:r>
    </w:p>
    <w:p w14:paraId="65EEB964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3.7. В случае неустранения нарушения в течение 7 календарных дней Правление СНТ вправе произвести отключение земельного участка путем установки заглушки либо иным техническим способом.</w:t>
      </w:r>
    </w:p>
    <w:p w14:paraId="6860086C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3.8. Самовольное подключение, вмешательство в работу системы, повреждение магистрального трубопровода, колодцев, гребенок либо иного оборудования системы влечет:</w:t>
      </w:r>
    </w:p>
    <w:p w14:paraId="1631C960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отключение земельного участка;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</w:t>
      </w:r>
      <w:r>
        <w:rPr>
          <w:rFonts w:hint="default" w:ascii="Times New Roman" w:hAnsi="Times New Roman" w:cs="Times New Roman"/>
          <w:sz w:val="20"/>
          <w:szCs w:val="20"/>
        </w:rPr>
        <w:t>обязанность возмещения причиненного ущерба в полном объеме</w:t>
      </w:r>
    </w:p>
    <w:p w14:paraId="5DAE9643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3.9. Повторное подключение производится после: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устранения нарушений;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</w:t>
      </w:r>
      <w:r>
        <w:rPr>
          <w:rFonts w:hint="default" w:ascii="Times New Roman" w:hAnsi="Times New Roman" w:cs="Times New Roman"/>
          <w:sz w:val="20"/>
          <w:szCs w:val="20"/>
        </w:rPr>
        <w:t>возмещения ущерба;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компенсации расходов СНТ на отключение и повторное подключение.</w:t>
      </w:r>
    </w:p>
    <w:p w14:paraId="68F14FE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1CCB49A6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5BFCCECE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3A2EA4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0E4BC99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13281FF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1080" w:leftChars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7BF52D0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4B8EA3FC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АКТ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разграничения эксплуатационной ответственности</w:t>
      </w:r>
    </w:p>
    <w:p w14:paraId="163671A0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СНТ «Позитив»</w:t>
      </w:r>
      <w:r>
        <w:rPr>
          <w:rFonts w:hint="default" w:ascii="Times New Roman" w:hAnsi="Times New Roman" w:cs="Times New Roman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</w:rPr>
        <w:t>ИНН 3849009626</w:t>
      </w:r>
      <w:r>
        <w:rPr>
          <w:rFonts w:hint="default" w:ascii="Times New Roman" w:hAnsi="Times New Roman" w:cs="Times New Roman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</w:rPr>
        <w:t>Адрес: Иркутская область, Иркутский район, 11 км Качугского тракта, СНТ «Позитив»</w:t>
      </w:r>
    </w:p>
    <w:p w14:paraId="2836E296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«___» __________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hint="default" w:ascii="Times New Roman" w:hAnsi="Times New Roman" w:cs="Times New Roman"/>
          <w:sz w:val="20"/>
          <w:szCs w:val="20"/>
        </w:rPr>
        <w:t xml:space="preserve"> г.</w:t>
      </w:r>
    </w:p>
    <w:p w14:paraId="774724FA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СНТ «Позитив» в лице Председателя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Лазаревой Екатерины Сергеевны</w:t>
      </w:r>
      <w:r>
        <w:rPr>
          <w:rFonts w:hint="default" w:ascii="Times New Roman" w:hAnsi="Times New Roman" w:cs="Times New Roman"/>
          <w:sz w:val="20"/>
          <w:szCs w:val="20"/>
        </w:rPr>
        <w:t>, действующе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й</w:t>
      </w:r>
      <w:r>
        <w:rPr>
          <w:rFonts w:hint="default" w:ascii="Times New Roman" w:hAnsi="Times New Roman" w:cs="Times New Roman"/>
          <w:sz w:val="20"/>
          <w:szCs w:val="20"/>
        </w:rPr>
        <w:t xml:space="preserve"> на основании Устава, и собственник земельного участка:</w:t>
      </w:r>
    </w:p>
    <w:p w14:paraId="4B563639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Ф.И.О. _______________________________________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____________________________________________________________</w:t>
      </w:r>
    </w:p>
    <w:p w14:paraId="115BD668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Кадастровый номер: 38:06:100902:_____</w:t>
      </w:r>
    </w:p>
    <w:p w14:paraId="06B2695D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Участок № _______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________________________________________________________________________________________</w:t>
      </w:r>
    </w:p>
    <w:p w14:paraId="7E0DEA6A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составили настоящий Акт о нижеследующем:</w:t>
      </w:r>
    </w:p>
    <w:p w14:paraId="5C162012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Граница эксплуатационной ответственности между СНТ «Позитив» и собственником земельного участка устанавливается по шаровому крану отвода к конкретному земельному участку, установленному на гребенке в водопроводном колодце.</w:t>
      </w:r>
    </w:p>
    <w:p w14:paraId="2E1DB876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СНТ «Позитив»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несёт</w:t>
      </w:r>
      <w:r>
        <w:rPr>
          <w:rFonts w:hint="default" w:ascii="Times New Roman" w:hAnsi="Times New Roman" w:cs="Times New Roman"/>
          <w:sz w:val="20"/>
          <w:szCs w:val="20"/>
        </w:rPr>
        <w:t xml:space="preserve"> ответственность за:</w:t>
      </w:r>
    </w:p>
    <w:p w14:paraId="780FA74C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магистральный трубопровод диаметром 110 мм;</w:t>
      </w:r>
    </w:p>
    <w:p w14:paraId="21321649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водопроводный колодец;</w:t>
      </w:r>
    </w:p>
    <w:p w14:paraId="13F79ABA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металлическую гребенку;</w:t>
      </w:r>
    </w:p>
    <w:p w14:paraId="060DB281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не задействованные врезки до шарового крана отвода.</w:t>
      </w:r>
    </w:p>
    <w:p w14:paraId="0BE0301F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Собственник земельного участка несет ответственность за:</w:t>
      </w:r>
    </w:p>
    <w:p w14:paraId="3E9F1329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шаровой кран отвода;</w:t>
      </w:r>
    </w:p>
    <w:p w14:paraId="46047FA3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трубопровод после шарового крана;</w:t>
      </w:r>
    </w:p>
    <w:p w14:paraId="35A5AE6E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внутренние сети;</w:t>
      </w:r>
    </w:p>
    <w:p w14:paraId="790F506B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оборудование;</w:t>
      </w:r>
    </w:p>
    <w:p w14:paraId="474AEB64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утечки;</w:t>
      </w:r>
    </w:p>
    <w:p w14:paraId="36D2B21F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промерзание;</w:t>
      </w:r>
    </w:p>
    <w:p w14:paraId="6613C179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повреждение трубопровода и оборудования на земельном участке.</w:t>
      </w:r>
    </w:p>
    <w:p w14:paraId="16506357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A13BC55">
      <w:pPr>
        <w:pStyle w:val="30"/>
        <w:keepNext w:val="0"/>
        <w:keepLines w:val="0"/>
        <w:widowControl/>
        <w:numPr>
          <w:ilvl w:val="0"/>
          <w:numId w:val="0"/>
        </w:numPr>
        <w:suppressLineNumbers w:val="0"/>
        <w:ind w:leftChars="0" w:right="0" w:right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Собственник подтверждает:</w:t>
      </w:r>
    </w:p>
    <w:p w14:paraId="04D2CE75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ознакомление с Положением о водоснабжении СНТ «Позитив»;</w:t>
      </w:r>
    </w:p>
    <w:p w14:paraId="6DCFEE82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уведомление о техническом характере воды;</w:t>
      </w:r>
    </w:p>
    <w:p w14:paraId="5DFF89F5">
      <w:pPr>
        <w:pStyle w:val="30"/>
        <w:keepNext w:val="0"/>
        <w:keepLines w:val="0"/>
        <w:widowControl/>
        <w:numPr>
          <w:ilvl w:val="0"/>
          <w:numId w:val="7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обязанность соблюдать Технические условия подключения</w:t>
      </w:r>
    </w:p>
    <w:p w14:paraId="11D03B2D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Подписи сторон:</w:t>
      </w:r>
    </w:p>
    <w:p w14:paraId="54E81613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Председатель СНТ ___________________</w:t>
      </w:r>
    </w:p>
    <w:p w14:paraId="10F10BA1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Собственник участка _________________</w:t>
      </w:r>
    </w:p>
    <w:p w14:paraId="51430236">
      <w:pPr>
        <w:pStyle w:val="2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7365B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ТЕХНИЧЕСКИЕ УСЛОВИЯ на подключение</w:t>
      </w:r>
    </w:p>
    <w:p w14:paraId="5A2E637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к централизованной системе технического водоснабжения СНТ «Позитив»</w:t>
      </w:r>
    </w:p>
    <w:p w14:paraId="40F66CA4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СНТ «Позитив»</w:t>
      </w:r>
      <w:r>
        <w:rPr>
          <w:rFonts w:hint="default" w:ascii="Times New Roman" w:hAnsi="Times New Roman" w:cs="Times New Roman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</w:rPr>
        <w:t>ИНН 3849009626</w:t>
      </w:r>
      <w:r>
        <w:rPr>
          <w:rFonts w:hint="default" w:ascii="Times New Roman" w:hAnsi="Times New Roman" w:cs="Times New Roman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</w:rPr>
        <w:t>Адрес: Иркутская область, Иркутский район, 11 км Качугского тракта, СНТ «Позитив»</w:t>
      </w:r>
    </w:p>
    <w:p w14:paraId="2A4B993C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Заявитель (Потребитель): ___________________________________</w:t>
      </w:r>
    </w:p>
    <w:p w14:paraId="4A4EE695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Адрес участка: Иркутская область, Иркутский район, 11 км Качугского тракта, СНТ «Позитив»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____________________</w:t>
      </w:r>
    </w:p>
    <w:p w14:paraId="57647404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Кадастровый номер: 38:06:100902:_____</w:t>
      </w:r>
    </w:p>
    <w:p w14:paraId="28FA9536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Подключение к централизованной системе технического водоснабжения осуществляется ПНД трубой диаметром 32 мм, проложенной в гильзе ПНД диаметром 63 мм.</w:t>
      </w:r>
    </w:p>
    <w:p w14:paraId="55B30CE9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Подключение выполняется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путём</w:t>
      </w:r>
      <w:r>
        <w:rPr>
          <w:rFonts w:hint="default" w:ascii="Times New Roman" w:hAnsi="Times New Roman" w:cs="Times New Roman"/>
          <w:sz w:val="20"/>
          <w:szCs w:val="20"/>
        </w:rPr>
        <w:t xml:space="preserve"> установки металлической гребенки на магистральный трубопровод диаметром 110 мм.</w:t>
      </w:r>
    </w:p>
    <w:p w14:paraId="7A45B6E0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Металлическая гребенка выполняется из толстостенной стальной трубы диаметром </w:t>
      </w:r>
      <w:r>
        <w:rPr>
          <w:rFonts w:hint="default" w:cs="Times New Roman"/>
          <w:sz w:val="20"/>
          <w:szCs w:val="20"/>
          <w:lang w:val="ru-RU"/>
        </w:rPr>
        <w:t>110</w:t>
      </w:r>
      <w:bookmarkStart w:id="0" w:name="_GoBack"/>
      <w:bookmarkEnd w:id="0"/>
      <w:r>
        <w:rPr>
          <w:rFonts w:hint="default" w:ascii="Times New Roman" w:hAnsi="Times New Roman" w:cs="Times New Roman"/>
          <w:sz w:val="20"/>
          <w:szCs w:val="20"/>
        </w:rPr>
        <w:t xml:space="preserve"> мм с фланцами диаметром 50 мм на давление 16 атмосфер и предусматривает от 3-х до 5-ти подключений.</w:t>
      </w:r>
    </w:p>
    <w:p w14:paraId="70FFC3B4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На задействованной врезке устанавливается шаровой кран диаметром 1 дюйм с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разъёмным</w:t>
      </w:r>
      <w:r>
        <w:rPr>
          <w:rFonts w:hint="default" w:ascii="Times New Roman" w:hAnsi="Times New Roman" w:cs="Times New Roman"/>
          <w:sz w:val="20"/>
          <w:szCs w:val="20"/>
        </w:rPr>
        <w:t xml:space="preserve"> соединением классом не ниже Valtec, Bugatti, Stout либо аналогичного качества.</w:t>
      </w:r>
    </w:p>
    <w:p w14:paraId="22201E99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Не задействованные врезки подлежат обязательному закрытию заглушками.</w:t>
      </w:r>
    </w:p>
    <w:p w14:paraId="7360BE24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Способ монтажа:</w:t>
      </w:r>
    </w:p>
    <w:p w14:paraId="1B4E13C3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электросварные фланцевые соединения;</w:t>
      </w:r>
    </w:p>
    <w:p w14:paraId="3F72624D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электросварная пайка ПНД фитингов.</w:t>
      </w:r>
    </w:p>
    <w:p w14:paraId="3C62A5E0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Использование компрессионных соединений, накладных элементов, латунных фитингов и иных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разъёмных</w:t>
      </w:r>
      <w:r>
        <w:rPr>
          <w:rFonts w:hint="default" w:ascii="Times New Roman" w:hAnsi="Times New Roman" w:cs="Times New Roman"/>
          <w:sz w:val="20"/>
          <w:szCs w:val="20"/>
        </w:rPr>
        <w:t xml:space="preserve"> соединений до вводного крана в дом запрещается.</w:t>
      </w:r>
    </w:p>
    <w:p w14:paraId="17F9521F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Прокладка трубопровода через дороги СНТ выполняется методом прокола.</w:t>
      </w:r>
    </w:p>
    <w:p w14:paraId="181BC572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При невозможности выполнения прокола вследствие скального грунта допускается открытый способ прокладки с обязательным восстановлением дорожного покрытия.</w:t>
      </w:r>
    </w:p>
    <w:p w14:paraId="26B265D5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Все работы по подключению выполняются специалистами СНТ либо под обязательным контролем представителя СНТ.</w:t>
      </w:r>
    </w:p>
    <w:p w14:paraId="1A0E8892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Самостоятельное выполнение работ без участия представителя СНТ запрещается.</w:t>
      </w:r>
    </w:p>
    <w:p w14:paraId="00C7B9BB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Вода в системе водоснабжения СНТ «Позитив» является технической и требует дополнительной очистки.</w:t>
      </w:r>
    </w:p>
    <w:p w14:paraId="01438B00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До подписания Акта разграничения эксплуатационной ответственности эксплуатация подключения запрещается.</w:t>
      </w:r>
    </w:p>
    <w:p w14:paraId="1481BCFA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5" w:leftChars="0" w:hanging="425" w:firstLine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Самовольное подключение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влечёт</w:t>
      </w:r>
      <w:r>
        <w:rPr>
          <w:rFonts w:hint="default" w:ascii="Times New Roman" w:hAnsi="Times New Roman" w:cs="Times New Roman"/>
          <w:sz w:val="20"/>
          <w:szCs w:val="20"/>
        </w:rPr>
        <w:t xml:space="preserve"> отключение от системы водоснабжения, возмещение ущерба и иные меры, предусмотренные Положением СНТ «Позитив»</w:t>
      </w:r>
    </w:p>
    <w:p w14:paraId="15AD19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1080" w:leftChars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2EA62262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 техническими условиями ознакомлен:</w:t>
      </w:r>
    </w:p>
    <w:p w14:paraId="37FD9485">
      <w:pPr>
        <w:pStyle w:val="30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Собственник участка ___________________</w:t>
      </w:r>
    </w:p>
    <w:p w14:paraId="462A6A93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sectPr>
      <w:pgSz w:w="12240" w:h="15840"/>
      <w:pgMar w:top="120" w:right="760" w:bottom="1440" w:left="9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89A4FE"/>
    <w:multiLevelType w:val="singleLevel"/>
    <w:tmpl w:val="9989A4F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F90F91CA"/>
    <w:multiLevelType w:val="singleLevel"/>
    <w:tmpl w:val="F90F91C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5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6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6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465F29"/>
    <w:rsid w:val="39502077"/>
    <w:rsid w:val="3CEB3AAE"/>
    <w:rsid w:val="45F14B9E"/>
    <w:rsid w:val="607F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8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7"/>
    <w:unhideWhenUsed/>
    <w:qFormat/>
    <w:uiPriority w:val="99"/>
    <w:pPr>
      <w:spacing w:after="120"/>
    </w:pPr>
  </w:style>
  <w:style w:type="paragraph" w:styleId="21">
    <w:name w:val="macro"/>
    <w:link w:val="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31">
    <w:name w:val="Body Text 3"/>
    <w:basedOn w:val="1"/>
    <w:link w:val="49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er Char"/>
    <w:basedOn w:val="11"/>
    <w:link w:val="19"/>
    <w:qFormat/>
    <w:uiPriority w:val="99"/>
  </w:style>
  <w:style w:type="character" w:customStyle="1" w:styleId="39">
    <w:name w:val="Footer Char"/>
    <w:basedOn w:val="11"/>
    <w:link w:val="26"/>
    <w:qFormat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Body Text Char"/>
    <w:basedOn w:val="11"/>
    <w:link w:val="20"/>
    <w:qFormat/>
    <w:uiPriority w:val="99"/>
  </w:style>
  <w:style w:type="character" w:customStyle="1" w:styleId="48">
    <w:name w:val="Body Text 2 Char"/>
    <w:basedOn w:val="11"/>
    <w:link w:val="16"/>
    <w:qFormat/>
    <w:uiPriority w:val="99"/>
  </w:style>
  <w:style w:type="character" w:customStyle="1" w:styleId="49">
    <w:name w:val="Body Text 3 Char"/>
    <w:basedOn w:val="11"/>
    <w:link w:val="31"/>
    <w:qFormat/>
    <w:uiPriority w:val="99"/>
    <w:rPr>
      <w:sz w:val="16"/>
      <w:szCs w:val="16"/>
    </w:rPr>
  </w:style>
  <w:style w:type="character" w:customStyle="1" w:styleId="50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Quote Char"/>
    <w:basedOn w:val="1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Intense Quote Char"/>
    <w:basedOn w:val="11"/>
    <w:link w:val="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1227</Words>
  <Characters>9415</Characters>
  <Lines>0</Lines>
  <Paragraphs>0</Paragraphs>
  <TotalTime>2796</TotalTime>
  <ScaleCrop>false</ScaleCrop>
  <LinksUpToDate>false</LinksUpToDate>
  <CharactersWithSpaces>10543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Екатерина Лазарева</cp:lastModifiedBy>
  <dcterms:modified xsi:type="dcterms:W3CDTF">2026-05-17T07:01:17Z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eyJoZGlkIjoiMTg0NWZlMDVjY2Q5N2M5ZjUyYzRiMDgxMGY0YjJjYWEiLCJ1c2VySWQiOiIxNjY2NTA2NTkwNjE4In0=</vt:lpwstr>
  </property>
  <property fmtid="{D5CDD505-2E9C-101B-9397-08002B2CF9AE}" pid="3" name="KSOProductBuildVer">
    <vt:lpwstr>1049-12.1.0.25862</vt:lpwstr>
  </property>
  <property fmtid="{D5CDD505-2E9C-101B-9397-08002B2CF9AE}" pid="4" name="ICV">
    <vt:lpwstr>6C889966C59E412990BD14D45118D3E5_13</vt:lpwstr>
  </property>
</Properties>
</file>